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0E" w:rsidRDefault="0071351C" w:rsidP="00457EAE">
      <w:pPr>
        <w:widowControl/>
        <w:tabs>
          <w:tab w:val="left" w:pos="-9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720" w:right="-720"/>
        <w:rPr>
          <w:rFonts w:ascii="Goudy Old Style" w:hAnsi="Goudy Old Style" w:cs="Goudy Old Style"/>
          <w:b/>
          <w:bCs/>
          <w:sz w:val="22"/>
          <w:szCs w:val="22"/>
        </w:rPr>
      </w:pPr>
      <w:r>
        <w:object w:dxaOrig="23699"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65pt;height:122.2pt" o:ole="">
            <v:imagedata r:id="rId9" o:title=""/>
          </v:shape>
          <o:OLEObject Type="Embed" ProgID="Presentations.Drawing.16" ShapeID="_x0000_i1025" DrawAspect="Content" ObjectID="_1531305190" r:id="rId10"/>
        </w:object>
      </w:r>
    </w:p>
    <w:p w:rsidR="005D7FB2" w:rsidRDefault="008D2BB8" w:rsidP="005D7FB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ascii="Goudy Old Style" w:hAnsi="Goudy Old Style" w:cs="Goudy Old Style"/>
          <w:b/>
          <w:bCs/>
        </w:rPr>
      </w:pPr>
      <w:r>
        <w:rPr>
          <w:rFonts w:ascii="Goudy Old Style" w:hAnsi="Goudy Old Style" w:cs="Goudy Old Style"/>
        </w:rPr>
        <w:t xml:space="preserve">July </w:t>
      </w:r>
      <w:r w:rsidR="0081675D">
        <w:rPr>
          <w:rFonts w:ascii="Goudy Old Style" w:hAnsi="Goudy Old Style" w:cs="Goudy Old Style"/>
        </w:rPr>
        <w:t>29</w:t>
      </w:r>
      <w:r w:rsidR="00CB0119">
        <w:rPr>
          <w:rFonts w:ascii="Goudy Old Style" w:hAnsi="Goudy Old Style" w:cs="Goudy Old Style"/>
        </w:rPr>
        <w:t>, 2016</w:t>
      </w:r>
    </w:p>
    <w:p w:rsidR="009F1449" w:rsidRDefault="009F1449" w:rsidP="005D7FB2">
      <w:pPr>
        <w:widowControl/>
        <w:rPr>
          <w:rFonts w:ascii="Goudy Old Style" w:hAnsi="Goudy Old Style" w:cs="Goudy Old Style"/>
          <w:b/>
          <w:bCs/>
        </w:rPr>
      </w:pPr>
    </w:p>
    <w:p w:rsidR="009F1449" w:rsidRDefault="009F1449" w:rsidP="005D7FB2">
      <w:pPr>
        <w:widowControl/>
        <w:rPr>
          <w:rFonts w:ascii="Goudy Old Style" w:hAnsi="Goudy Old Style" w:cs="Goudy Old Style"/>
          <w:b/>
          <w:bCs/>
        </w:rPr>
      </w:pPr>
    </w:p>
    <w:p w:rsidR="005D7FB2" w:rsidRPr="00510E82" w:rsidRDefault="00F5047E" w:rsidP="00CB0119">
      <w:pPr>
        <w:jc w:val="center"/>
        <w:rPr>
          <w:rFonts w:ascii="Goudy Old Style" w:hAnsi="Goudy Old Style" w:cs="Goudy Old Style"/>
          <w:bCs/>
          <w:caps/>
        </w:rPr>
      </w:pPr>
      <w:r>
        <w:rPr>
          <w:rFonts w:ascii="Goudy Old Style" w:hAnsi="Goudy Old Style" w:cs="Goudy Old Style"/>
          <w:b/>
          <w:bCs/>
          <w:i/>
          <w:caps/>
          <w:sz w:val="28"/>
          <w:szCs w:val="28"/>
        </w:rPr>
        <w:t>new ocr section 504 guidance for students with adhd</w:t>
      </w:r>
    </w:p>
    <w:p w:rsidR="00673F94" w:rsidRDefault="00673F94" w:rsidP="005D7FB2">
      <w:pPr>
        <w:rPr>
          <w:rFonts w:ascii="Goudy Old Style" w:hAnsi="Goudy Old Style" w:cs="Goudy Old Style"/>
          <w:bCs/>
        </w:rPr>
      </w:pPr>
    </w:p>
    <w:p w:rsidR="005A396F" w:rsidRDefault="005A396F" w:rsidP="005D7FB2">
      <w:pPr>
        <w:rPr>
          <w:rFonts w:ascii="Goudy Old Style" w:hAnsi="Goudy Old Style" w:cs="Goudy Old Style"/>
          <w:bCs/>
        </w:rPr>
      </w:pPr>
    </w:p>
    <w:p w:rsidR="0081675D" w:rsidRDefault="0081675D" w:rsidP="0081675D">
      <w:pPr>
        <w:rPr>
          <w:rFonts w:ascii="Goudy Old Style" w:hAnsi="Goudy Old Style" w:cs="Goudy Old Style"/>
          <w:bCs/>
        </w:rPr>
      </w:pPr>
      <w:r>
        <w:rPr>
          <w:rFonts w:ascii="Goudy Old Style" w:hAnsi="Goudy Old Style" w:cs="Goudy Old Style"/>
          <w:bCs/>
        </w:rPr>
        <w:tab/>
      </w:r>
      <w:r w:rsidRPr="0081675D">
        <w:rPr>
          <w:rFonts w:ascii="Goudy Old Style" w:hAnsi="Goudy Old Style" w:cs="Goudy Old Style"/>
          <w:bCs/>
        </w:rPr>
        <w:t>On July 26, 2016</w:t>
      </w:r>
      <w:r w:rsidR="00673F94">
        <w:rPr>
          <w:rFonts w:ascii="Goudy Old Style" w:hAnsi="Goudy Old Style" w:cs="Goudy Old Style"/>
          <w:bCs/>
        </w:rPr>
        <w:t>,</w:t>
      </w:r>
      <w:r w:rsidRPr="0081675D">
        <w:rPr>
          <w:rFonts w:ascii="Goudy Old Style" w:hAnsi="Goudy Old Style" w:cs="Goudy Old Style"/>
          <w:bCs/>
        </w:rPr>
        <w:t xml:space="preserve"> </w:t>
      </w:r>
      <w:r w:rsidR="00673F94">
        <w:rPr>
          <w:rFonts w:ascii="Goudy Old Style" w:hAnsi="Goudy Old Style" w:cs="Goudy Old Style"/>
          <w:bCs/>
        </w:rPr>
        <w:t>t</w:t>
      </w:r>
      <w:r w:rsidRPr="0081675D">
        <w:rPr>
          <w:rFonts w:ascii="Goudy Old Style" w:hAnsi="Goudy Old Style" w:cs="Goudy Old Style"/>
          <w:bCs/>
        </w:rPr>
        <w:t>he U.S. Department of Education’s (ED) Office for C</w:t>
      </w:r>
      <w:bookmarkStart w:id="0" w:name="_GoBack"/>
      <w:bookmarkEnd w:id="0"/>
      <w:r w:rsidRPr="0081675D">
        <w:rPr>
          <w:rFonts w:ascii="Goudy Old Style" w:hAnsi="Goudy Old Style" w:cs="Goudy Old Style"/>
          <w:bCs/>
        </w:rPr>
        <w:t xml:space="preserve">ivil Rights (OCR) has issued </w:t>
      </w:r>
      <w:hyperlink r:id="rId11" w:history="1">
        <w:r w:rsidRPr="00344D74">
          <w:rPr>
            <w:rStyle w:val="Hyperlink"/>
            <w:rFonts w:ascii="Goudy Old Style" w:hAnsi="Goudy Old Style" w:cs="Goudy Old Style"/>
            <w:bCs/>
          </w:rPr>
          <w:t>guidance</w:t>
        </w:r>
      </w:hyperlink>
      <w:r w:rsidRPr="0081675D">
        <w:rPr>
          <w:rFonts w:ascii="Goudy Old Style" w:hAnsi="Goudy Old Style" w:cs="Goudy Old Style"/>
          <w:bCs/>
        </w:rPr>
        <w:t xml:space="preserve"> clarifying the obligation of schools to provide students who have been diagnosed with attention-deficit/hyperactivity disorder (ADHD) with equal educational opportunities under Section 504 of the Rehabilitation Act of 1973. </w:t>
      </w:r>
    </w:p>
    <w:p w:rsidR="0081675D" w:rsidRPr="0081675D" w:rsidRDefault="0081675D" w:rsidP="0081675D">
      <w:pPr>
        <w:rPr>
          <w:rFonts w:ascii="Goudy Old Style" w:hAnsi="Goudy Old Style" w:cs="Goudy Old Style"/>
          <w:bCs/>
        </w:rPr>
      </w:pPr>
    </w:p>
    <w:p w:rsidR="0081675D" w:rsidRDefault="0081675D" w:rsidP="0081675D">
      <w:pPr>
        <w:rPr>
          <w:rFonts w:ascii="Goudy Old Style" w:hAnsi="Goudy Old Style" w:cs="Goudy Old Style"/>
          <w:bCs/>
        </w:rPr>
      </w:pPr>
      <w:r>
        <w:rPr>
          <w:rFonts w:ascii="Goudy Old Style" w:hAnsi="Goudy Old Style" w:cs="Goudy Old Style"/>
          <w:bCs/>
        </w:rPr>
        <w:tab/>
      </w:r>
      <w:r w:rsidRPr="0081675D">
        <w:rPr>
          <w:rFonts w:ascii="Goudy Old Style" w:hAnsi="Goudy Old Style" w:cs="Goudy Old Style"/>
          <w:bCs/>
        </w:rPr>
        <w:t xml:space="preserve">This new guidance provides a broad overview of Section 504 and school districts’ obligations to provide educational services to students with disabilities, including substantially expanded obligations imposed on </w:t>
      </w:r>
      <w:r w:rsidR="00BA0306">
        <w:rPr>
          <w:rFonts w:ascii="Goudy Old Style" w:hAnsi="Goudy Old Style" w:cs="Goudy Old Style"/>
          <w:bCs/>
        </w:rPr>
        <w:t>s</w:t>
      </w:r>
      <w:r w:rsidRPr="0081675D">
        <w:rPr>
          <w:rFonts w:ascii="Goudy Old Style" w:hAnsi="Goudy Old Style" w:cs="Goudy Old Style"/>
          <w:bCs/>
        </w:rPr>
        <w:t xml:space="preserve">chool </w:t>
      </w:r>
      <w:r w:rsidR="00BA0306">
        <w:rPr>
          <w:rFonts w:ascii="Goudy Old Style" w:hAnsi="Goudy Old Style" w:cs="Goudy Old Style"/>
          <w:bCs/>
        </w:rPr>
        <w:t>d</w:t>
      </w:r>
      <w:r w:rsidRPr="0081675D">
        <w:rPr>
          <w:rFonts w:ascii="Goudy Old Style" w:hAnsi="Goudy Old Style" w:cs="Goudy Old Style"/>
          <w:bCs/>
        </w:rPr>
        <w:t>istricts in accommodating students with ADHD.</w:t>
      </w:r>
    </w:p>
    <w:p w:rsidR="00ED1DD7" w:rsidRPr="0081675D" w:rsidRDefault="00ED1DD7" w:rsidP="0081675D">
      <w:pPr>
        <w:rPr>
          <w:rFonts w:ascii="Goudy Old Style" w:hAnsi="Goudy Old Style" w:cs="Goudy Old Style"/>
          <w:bCs/>
        </w:rPr>
      </w:pPr>
    </w:p>
    <w:p w:rsidR="0081675D" w:rsidRDefault="00ED1DD7" w:rsidP="0081675D">
      <w:pPr>
        <w:rPr>
          <w:rFonts w:ascii="Goudy Old Style" w:hAnsi="Goudy Old Style" w:cs="Goudy Old Style"/>
          <w:bCs/>
        </w:rPr>
      </w:pPr>
      <w:r>
        <w:rPr>
          <w:rFonts w:ascii="Goudy Old Style" w:hAnsi="Goudy Old Style" w:cs="Goudy Old Style"/>
          <w:bCs/>
        </w:rPr>
        <w:tab/>
      </w:r>
      <w:r w:rsidR="0081675D" w:rsidRPr="0081675D">
        <w:rPr>
          <w:rFonts w:ascii="Goudy Old Style" w:hAnsi="Goudy Old Style" w:cs="Goudy Old Style"/>
          <w:bCs/>
        </w:rPr>
        <w:t xml:space="preserve">Of substantial note is that OCR is taking the position </w:t>
      </w:r>
      <w:r w:rsidR="00BA0306">
        <w:rPr>
          <w:rFonts w:ascii="Goudy Old Style" w:hAnsi="Goudy Old Style" w:cs="Goudy Old Style"/>
          <w:bCs/>
        </w:rPr>
        <w:t xml:space="preserve">that </w:t>
      </w:r>
      <w:r w:rsidR="0081675D" w:rsidRPr="0081675D">
        <w:rPr>
          <w:rFonts w:ascii="Goudy Old Style" w:hAnsi="Goudy Old Style" w:cs="Goudy Old Style"/>
          <w:bCs/>
        </w:rPr>
        <w:t>OCR will now presume every student diagnosed with ADHD is disabled under the standard set forth in Section 504 unless the</w:t>
      </w:r>
      <w:r w:rsidR="00BA0306">
        <w:rPr>
          <w:rFonts w:ascii="Goudy Old Style" w:hAnsi="Goudy Old Style" w:cs="Goudy Old Style"/>
          <w:bCs/>
        </w:rPr>
        <w:t>re is evidence to the contrary</w:t>
      </w:r>
      <w:r w:rsidR="00F5047E">
        <w:rPr>
          <w:rStyle w:val="FootnoteReference"/>
          <w:rFonts w:ascii="Goudy Old Style" w:hAnsi="Goudy Old Style"/>
          <w:bCs/>
        </w:rPr>
        <w:footnoteReference w:id="1"/>
      </w:r>
      <w:r w:rsidR="00BA0306">
        <w:rPr>
          <w:rFonts w:ascii="Goudy Old Style" w:hAnsi="Goudy Old Style" w:cs="Goudy Old Style"/>
          <w:bCs/>
        </w:rPr>
        <w:t>.</w:t>
      </w:r>
      <w:r w:rsidR="0081675D" w:rsidRPr="0081675D">
        <w:rPr>
          <w:rFonts w:ascii="Goudy Old Style" w:hAnsi="Goudy Old Style" w:cs="Goudy Old Style"/>
          <w:bCs/>
        </w:rPr>
        <w:t xml:space="preserve"> </w:t>
      </w:r>
      <w:r w:rsidR="007C3A61">
        <w:rPr>
          <w:rFonts w:ascii="Goudy Old Style" w:hAnsi="Goudy Old Style" w:cs="Goudy Old Style"/>
          <w:bCs/>
        </w:rPr>
        <w:t xml:space="preserve"> Additionally, in assessing students with ADHD, districts may now have to examine </w:t>
      </w:r>
      <w:r w:rsidR="00B025DA">
        <w:rPr>
          <w:rFonts w:ascii="Goudy Old Style" w:hAnsi="Goudy Old Style" w:cs="Goudy Old Style"/>
          <w:bCs/>
        </w:rPr>
        <w:t>how the disability impacts a student’s home</w:t>
      </w:r>
      <w:r w:rsidR="008C4D95">
        <w:rPr>
          <w:rFonts w:ascii="Goudy Old Style" w:hAnsi="Goudy Old Style" w:cs="Goudy Old Style"/>
          <w:bCs/>
        </w:rPr>
        <w:t xml:space="preserve"> </w:t>
      </w:r>
      <w:r w:rsidR="00B025DA">
        <w:rPr>
          <w:rFonts w:ascii="Goudy Old Style" w:hAnsi="Goudy Old Style" w:cs="Goudy Old Style"/>
          <w:bCs/>
        </w:rPr>
        <w:t>life irrespective of academic performance at school.</w:t>
      </w:r>
      <w:r w:rsidR="00D7202E">
        <w:rPr>
          <w:rStyle w:val="FootnoteReference"/>
          <w:rFonts w:ascii="Goudy Old Style" w:hAnsi="Goudy Old Style"/>
          <w:bCs/>
        </w:rPr>
        <w:footnoteReference w:id="2"/>
      </w:r>
    </w:p>
    <w:p w:rsidR="00ED1DD7" w:rsidRPr="0081675D" w:rsidRDefault="00ED1DD7" w:rsidP="0081675D">
      <w:pPr>
        <w:rPr>
          <w:rFonts w:ascii="Goudy Old Style" w:hAnsi="Goudy Old Style" w:cs="Goudy Old Style"/>
          <w:bCs/>
        </w:rPr>
      </w:pPr>
    </w:p>
    <w:p w:rsidR="00E763CE" w:rsidRDefault="00ED1DD7" w:rsidP="0081675D">
      <w:pPr>
        <w:rPr>
          <w:rFonts w:ascii="Goudy Old Style" w:hAnsi="Goudy Old Style" w:cs="Goudy Old Style"/>
          <w:bCs/>
        </w:rPr>
      </w:pPr>
      <w:r>
        <w:rPr>
          <w:rFonts w:ascii="Goudy Old Style" w:hAnsi="Goudy Old Style" w:cs="Goudy Old Style"/>
          <w:bCs/>
        </w:rPr>
        <w:tab/>
      </w:r>
      <w:r w:rsidR="00E763CE">
        <w:rPr>
          <w:rFonts w:ascii="Goudy Old Style" w:hAnsi="Goudy Old Style" w:cs="Goudy Old Style"/>
          <w:bCs/>
        </w:rPr>
        <w:t>This new guidance also:</w:t>
      </w:r>
    </w:p>
    <w:p w:rsidR="00E763CE" w:rsidRDefault="00E763CE" w:rsidP="0081675D">
      <w:pPr>
        <w:rPr>
          <w:rFonts w:ascii="Goudy Old Style" w:hAnsi="Goudy Old Style" w:cs="Goudy Old Style"/>
          <w:bCs/>
        </w:rPr>
      </w:pPr>
    </w:p>
    <w:p w:rsidR="00E03833" w:rsidRDefault="00E763CE" w:rsidP="00E03833">
      <w:pPr>
        <w:tabs>
          <w:tab w:val="left" w:pos="720"/>
        </w:tabs>
        <w:ind w:left="1440" w:hanging="1440"/>
        <w:rPr>
          <w:rFonts w:ascii="Goudy Old Style" w:hAnsi="Goudy Old Style" w:cs="Goudy Old Style"/>
          <w:bCs/>
        </w:rPr>
      </w:pPr>
      <w:r>
        <w:rPr>
          <w:rFonts w:ascii="Goudy Old Style" w:hAnsi="Goudy Old Style" w:cs="Goudy Old Style"/>
          <w:bCs/>
        </w:rPr>
        <w:tab/>
      </w:r>
      <w:r>
        <w:rPr>
          <w:rFonts w:ascii="WP TypographicSymbols" w:hAnsi="WP TypographicSymbols" w:cs="Goudy Old Style"/>
          <w:bCs/>
        </w:rPr>
        <w:t>!</w:t>
      </w:r>
      <w:r>
        <w:rPr>
          <w:rFonts w:ascii="Goudy Old Style" w:hAnsi="Goudy Old Style" w:cs="Goudy Old Style"/>
          <w:bCs/>
        </w:rPr>
        <w:tab/>
        <w:t>E</w:t>
      </w:r>
      <w:r w:rsidR="0081675D" w:rsidRPr="0081675D">
        <w:rPr>
          <w:rFonts w:ascii="Goudy Old Style" w:hAnsi="Goudy Old Style" w:cs="Goudy Old Style"/>
          <w:bCs/>
        </w:rPr>
        <w:t>xplains that schools must evaluate a student when a student needs</w:t>
      </w:r>
      <w:r>
        <w:rPr>
          <w:rFonts w:ascii="Goudy Old Style" w:hAnsi="Goudy Old Style" w:cs="Goudy Old Style"/>
          <w:bCs/>
        </w:rPr>
        <w:t>,</w:t>
      </w:r>
      <w:r w:rsidR="0081675D" w:rsidRPr="0081675D">
        <w:rPr>
          <w:rFonts w:ascii="Goudy Old Style" w:hAnsi="Goudy Old Style" w:cs="Goudy Old Style"/>
          <w:bCs/>
        </w:rPr>
        <w:t xml:space="preserve"> or is believed to need</w:t>
      </w:r>
      <w:r>
        <w:rPr>
          <w:rFonts w:ascii="Goudy Old Style" w:hAnsi="Goudy Old Style" w:cs="Goudy Old Style"/>
          <w:bCs/>
        </w:rPr>
        <w:t>,</w:t>
      </w:r>
      <w:r w:rsidR="0081675D" w:rsidRPr="0081675D">
        <w:rPr>
          <w:rFonts w:ascii="Goudy Old Style" w:hAnsi="Goudy Old Style" w:cs="Goudy Old Style"/>
          <w:bCs/>
        </w:rPr>
        <w:t xml:space="preserve"> specia</w:t>
      </w:r>
      <w:r w:rsidR="00E03833">
        <w:rPr>
          <w:rFonts w:ascii="Goudy Old Style" w:hAnsi="Goudy Old Style" w:cs="Goudy Old Style"/>
          <w:bCs/>
        </w:rPr>
        <w:t>l education or related services</w:t>
      </w:r>
      <w:r w:rsidR="006419F4">
        <w:rPr>
          <w:rFonts w:ascii="Goudy Old Style" w:hAnsi="Goudy Old Style" w:cs="Goudy Old Style"/>
          <w:bCs/>
        </w:rPr>
        <w:t>.</w:t>
      </w:r>
    </w:p>
    <w:p w:rsidR="00E03833" w:rsidRDefault="00E03833" w:rsidP="00E03833">
      <w:pPr>
        <w:tabs>
          <w:tab w:val="left" w:pos="720"/>
        </w:tabs>
        <w:ind w:left="1440" w:hanging="1440"/>
        <w:rPr>
          <w:rFonts w:ascii="Goudy Old Style" w:hAnsi="Goudy Old Style" w:cs="Goudy Old Style"/>
          <w:bCs/>
        </w:rPr>
      </w:pPr>
    </w:p>
    <w:p w:rsidR="00E03833" w:rsidRDefault="00E03833" w:rsidP="00E03833">
      <w:pPr>
        <w:tabs>
          <w:tab w:val="left" w:pos="720"/>
        </w:tabs>
        <w:ind w:left="1440" w:hanging="1440"/>
        <w:rPr>
          <w:rFonts w:ascii="Goudy Old Style" w:hAnsi="Goudy Old Style" w:cs="Goudy Old Style"/>
          <w:bCs/>
        </w:rPr>
      </w:pPr>
      <w:r>
        <w:rPr>
          <w:rFonts w:ascii="Goudy Old Style" w:hAnsi="Goudy Old Style" w:cs="Goudy Old Style"/>
          <w:bCs/>
        </w:rPr>
        <w:tab/>
      </w:r>
      <w:r>
        <w:rPr>
          <w:rFonts w:ascii="WP TypographicSymbols" w:hAnsi="WP TypographicSymbols" w:cs="Goudy Old Style"/>
          <w:bCs/>
        </w:rPr>
        <w:t>!</w:t>
      </w:r>
      <w:r w:rsidR="00ED1DD7">
        <w:rPr>
          <w:rFonts w:ascii="Goudy Old Style" w:hAnsi="Goudy Old Style" w:cs="Goudy Old Style"/>
          <w:bCs/>
        </w:rPr>
        <w:tab/>
      </w:r>
      <w:r w:rsidR="0081675D" w:rsidRPr="0081675D">
        <w:rPr>
          <w:rFonts w:ascii="Goudy Old Style" w:hAnsi="Goudy Old Style" w:cs="Goudy Old Style"/>
          <w:bCs/>
        </w:rPr>
        <w:t xml:space="preserve">Discusses the obligation to provide services based on students’ specific needs and not based on generalizations about disabilities, or ADHD, in particular. </w:t>
      </w:r>
      <w:r w:rsidR="006419F4">
        <w:rPr>
          <w:rFonts w:ascii="Goudy Old Style" w:hAnsi="Goudy Old Style" w:cs="Goudy Old Style"/>
          <w:bCs/>
        </w:rPr>
        <w:t xml:space="preserve"> </w:t>
      </w:r>
      <w:r w:rsidR="0081675D" w:rsidRPr="0081675D">
        <w:rPr>
          <w:rFonts w:ascii="Goudy Old Style" w:hAnsi="Goudy Old Style" w:cs="Goudy Old Style"/>
          <w:bCs/>
        </w:rPr>
        <w:t>For example, the guidance makes clear that schools must not rely on the generalization that students who perform well academically cannot also be substantially limited in major life activities, such as reading, learning, writing and thinking; and that such a student can, in fact, be a person with a disability.</w:t>
      </w:r>
    </w:p>
    <w:p w:rsidR="00E03833" w:rsidRDefault="00E03833" w:rsidP="00E03833">
      <w:pPr>
        <w:tabs>
          <w:tab w:val="left" w:pos="720"/>
        </w:tabs>
        <w:ind w:left="1440" w:hanging="1440"/>
        <w:rPr>
          <w:rFonts w:ascii="Goudy Old Style" w:hAnsi="Goudy Old Style" w:cs="Goudy Old Style"/>
          <w:bCs/>
        </w:rPr>
      </w:pPr>
    </w:p>
    <w:p w:rsidR="00E03833" w:rsidRDefault="00E03833" w:rsidP="00E03833">
      <w:pPr>
        <w:tabs>
          <w:tab w:val="left" w:pos="720"/>
        </w:tabs>
        <w:ind w:left="1440" w:hanging="1440"/>
        <w:rPr>
          <w:rFonts w:ascii="Goudy Old Style" w:hAnsi="Goudy Old Style" w:cs="Goudy Old Style"/>
          <w:bCs/>
        </w:rPr>
      </w:pPr>
      <w:r>
        <w:rPr>
          <w:rFonts w:ascii="Goudy Old Style" w:hAnsi="Goudy Old Style" w:cs="Goudy Old Style"/>
          <w:bCs/>
        </w:rPr>
        <w:lastRenderedPageBreak/>
        <w:tab/>
      </w:r>
      <w:r>
        <w:rPr>
          <w:rFonts w:ascii="WP TypographicSymbols" w:hAnsi="WP TypographicSymbols" w:cs="Goudy Old Style"/>
          <w:bCs/>
        </w:rPr>
        <w:t>!</w:t>
      </w:r>
      <w:r>
        <w:rPr>
          <w:rFonts w:ascii="Goudy Old Style" w:hAnsi="Goudy Old Style" w:cs="Goudy Old Style"/>
          <w:bCs/>
        </w:rPr>
        <w:tab/>
      </w:r>
      <w:r w:rsidR="0081675D" w:rsidRPr="0081675D">
        <w:rPr>
          <w:rFonts w:ascii="Goudy Old Style" w:hAnsi="Goudy Old Style" w:cs="Goudy Old Style"/>
          <w:bCs/>
        </w:rPr>
        <w:t xml:space="preserve">Clarifies </w:t>
      </w:r>
      <w:r w:rsidR="00CC2071">
        <w:rPr>
          <w:rFonts w:ascii="Goudy Old Style" w:hAnsi="Goudy Old Style" w:cs="Goudy Old Style"/>
          <w:bCs/>
        </w:rPr>
        <w:t xml:space="preserve">those </w:t>
      </w:r>
      <w:r w:rsidR="0081675D" w:rsidRPr="0081675D">
        <w:rPr>
          <w:rFonts w:ascii="Goudy Old Style" w:hAnsi="Goudy Old Style" w:cs="Goudy Old Style"/>
          <w:bCs/>
        </w:rPr>
        <w:t xml:space="preserve">students who experience behavioral challenges, or present as unfocused or distractible, could have ADHD and may need an evaluation to determine </w:t>
      </w:r>
      <w:r w:rsidR="00CC2071">
        <w:rPr>
          <w:rFonts w:ascii="Goudy Old Style" w:hAnsi="Goudy Old Style" w:cs="Goudy Old Style"/>
          <w:bCs/>
        </w:rPr>
        <w:t>their</w:t>
      </w:r>
      <w:r w:rsidR="006419F4">
        <w:rPr>
          <w:rFonts w:ascii="Goudy Old Style" w:hAnsi="Goudy Old Style" w:cs="Goudy Old Style"/>
          <w:bCs/>
        </w:rPr>
        <w:t xml:space="preserve"> </w:t>
      </w:r>
      <w:r w:rsidR="0081675D" w:rsidRPr="0081675D">
        <w:rPr>
          <w:rFonts w:ascii="Goudy Old Style" w:hAnsi="Goudy Old Style" w:cs="Goudy Old Style"/>
          <w:bCs/>
        </w:rPr>
        <w:t>educational needs.</w:t>
      </w:r>
    </w:p>
    <w:p w:rsidR="00E03833" w:rsidRDefault="00E03833" w:rsidP="00E03833">
      <w:pPr>
        <w:tabs>
          <w:tab w:val="left" w:pos="720"/>
        </w:tabs>
        <w:ind w:left="1440" w:hanging="1440"/>
        <w:rPr>
          <w:rFonts w:ascii="Goudy Old Style" w:hAnsi="Goudy Old Style" w:cs="Goudy Old Style"/>
          <w:bCs/>
        </w:rPr>
      </w:pPr>
    </w:p>
    <w:p w:rsidR="0081675D" w:rsidRDefault="00E03833" w:rsidP="00E03833">
      <w:pPr>
        <w:tabs>
          <w:tab w:val="left" w:pos="720"/>
        </w:tabs>
        <w:ind w:left="1440" w:hanging="1440"/>
        <w:rPr>
          <w:rFonts w:ascii="Goudy Old Style" w:hAnsi="Goudy Old Style" w:cs="Goudy Old Style"/>
          <w:bCs/>
        </w:rPr>
      </w:pPr>
      <w:r>
        <w:rPr>
          <w:rFonts w:ascii="Goudy Old Style" w:hAnsi="Goudy Old Style" w:cs="Goudy Old Style"/>
          <w:bCs/>
        </w:rPr>
        <w:tab/>
      </w:r>
      <w:r>
        <w:rPr>
          <w:rFonts w:ascii="WP TypographicSymbols" w:hAnsi="WP TypographicSymbols" w:cs="Goudy Old Style"/>
          <w:bCs/>
        </w:rPr>
        <w:t>!</w:t>
      </w:r>
      <w:r>
        <w:rPr>
          <w:rFonts w:ascii="Goudy Old Style" w:hAnsi="Goudy Old Style" w:cs="Goudy Old Style"/>
          <w:bCs/>
        </w:rPr>
        <w:tab/>
        <w:t>R</w:t>
      </w:r>
      <w:r w:rsidR="0081675D" w:rsidRPr="0081675D">
        <w:rPr>
          <w:rFonts w:ascii="Goudy Old Style" w:hAnsi="Goudy Old Style" w:cs="Goudy Old Style"/>
          <w:bCs/>
        </w:rPr>
        <w:t>eminds schools that they must provide parents and guardians with due process and allow them to appeal decisions regarding the identification, evaluation, or educational placement of students with disabilities, including students with ADHD.</w:t>
      </w:r>
    </w:p>
    <w:p w:rsidR="00ED1DD7" w:rsidRPr="0081675D" w:rsidRDefault="00ED1DD7" w:rsidP="0081675D">
      <w:pPr>
        <w:rPr>
          <w:rFonts w:ascii="Goudy Old Style" w:hAnsi="Goudy Old Style" w:cs="Goudy Old Style"/>
          <w:bCs/>
        </w:rPr>
      </w:pPr>
    </w:p>
    <w:p w:rsidR="00957B28" w:rsidRDefault="00ED1DD7" w:rsidP="0081675D">
      <w:pPr>
        <w:rPr>
          <w:rFonts w:ascii="Goudy Old Style" w:hAnsi="Goudy Old Style" w:cs="Goudy Old Style"/>
          <w:bCs/>
        </w:rPr>
      </w:pPr>
      <w:r>
        <w:rPr>
          <w:rFonts w:ascii="Goudy Old Style" w:hAnsi="Goudy Old Style" w:cs="Goudy Old Style"/>
          <w:bCs/>
        </w:rPr>
        <w:tab/>
      </w:r>
      <w:r w:rsidR="009F1449">
        <w:rPr>
          <w:rFonts w:ascii="Goudy Old Style" w:hAnsi="Goudy Old Style" w:cs="Goudy Old Style"/>
          <w:bCs/>
        </w:rPr>
        <w:t>Schools Legal Service will be discussing</w:t>
      </w:r>
      <w:r w:rsidR="0081675D" w:rsidRPr="0081675D">
        <w:rPr>
          <w:rFonts w:ascii="Goudy Old Style" w:hAnsi="Goudy Old Style" w:cs="Goudy Old Style"/>
          <w:bCs/>
        </w:rPr>
        <w:t xml:space="preserve"> some of the initial implications of this OCR </w:t>
      </w:r>
      <w:r w:rsidR="009F1449">
        <w:rPr>
          <w:rFonts w:ascii="Goudy Old Style" w:hAnsi="Goudy Old Style" w:cs="Goudy Old Style"/>
          <w:bCs/>
        </w:rPr>
        <w:t>g</w:t>
      </w:r>
      <w:r w:rsidR="0081675D" w:rsidRPr="0081675D">
        <w:rPr>
          <w:rFonts w:ascii="Goudy Old Style" w:hAnsi="Goudy Old Style" w:cs="Goudy Old Style"/>
          <w:bCs/>
        </w:rPr>
        <w:t xml:space="preserve">uidance during its upcoming August </w:t>
      </w:r>
      <w:r w:rsidR="009F1449">
        <w:rPr>
          <w:rFonts w:ascii="Goudy Old Style" w:hAnsi="Goudy Old Style" w:cs="Goudy Old Style"/>
          <w:bCs/>
        </w:rPr>
        <w:t>W</w:t>
      </w:r>
      <w:r w:rsidR="0081675D" w:rsidRPr="0081675D">
        <w:rPr>
          <w:rFonts w:ascii="Goudy Old Style" w:hAnsi="Goudy Old Style" w:cs="Goudy Old Style"/>
          <w:bCs/>
        </w:rPr>
        <w:t>orkshop and will additionally be discussing the legal implications of the new OCR guidance at upcoming workshops</w:t>
      </w:r>
      <w:r w:rsidR="00F5047E">
        <w:rPr>
          <w:rFonts w:ascii="Goudy Old Style" w:hAnsi="Goudy Old Style" w:cs="Goudy Old Style"/>
          <w:bCs/>
        </w:rPr>
        <w:t>.</w:t>
      </w:r>
    </w:p>
    <w:p w:rsidR="00673F94" w:rsidRPr="00510E82" w:rsidRDefault="00673F94" w:rsidP="0081675D">
      <w:pPr>
        <w:rPr>
          <w:rFonts w:ascii="Goudy Old Style" w:hAnsi="Goudy Old Style" w:cs="Goudy Old Style"/>
          <w:bCs/>
        </w:rPr>
      </w:pPr>
    </w:p>
    <w:p w:rsidR="005D7FB2" w:rsidRDefault="005D7FB2" w:rsidP="005D7FB2">
      <w:pPr>
        <w:rPr>
          <w:rFonts w:ascii="Goudy Old Style" w:hAnsi="Goudy Old Style" w:cs="Goudy Old Style"/>
          <w:bCs/>
        </w:rPr>
      </w:pPr>
      <w:r w:rsidRPr="00BE3534">
        <w:rPr>
          <w:rFonts w:ascii="Goudy Old Style" w:hAnsi="Goudy Old Style" w:cs="Goudy Old Style"/>
          <w:bCs/>
        </w:rPr>
        <w:tab/>
        <w:t xml:space="preserve">If you need any further assistance or advice, please feel free to </w:t>
      </w:r>
      <w:r>
        <w:rPr>
          <w:rFonts w:ascii="Goudy Old Style" w:hAnsi="Goudy Old Style" w:cs="Goudy Old Style"/>
          <w:bCs/>
        </w:rPr>
        <w:t>contact our office</w:t>
      </w:r>
      <w:r w:rsidRPr="00BE3534">
        <w:rPr>
          <w:rFonts w:ascii="Goudy Old Style" w:hAnsi="Goudy Old Style" w:cs="Goudy Old Style"/>
          <w:bCs/>
        </w:rPr>
        <w:t>.</w:t>
      </w:r>
      <w:r>
        <w:rPr>
          <w:rFonts w:ascii="Goudy Old Style" w:hAnsi="Goudy Old Style" w:cs="Goudy Old Style"/>
          <w:bCs/>
        </w:rPr>
        <w:t xml:space="preserve"> </w:t>
      </w:r>
    </w:p>
    <w:p w:rsidR="005D7FB2" w:rsidRPr="00BE3534" w:rsidRDefault="005D7FB2" w:rsidP="005D7FB2">
      <w:pPr>
        <w:rPr>
          <w:rFonts w:ascii="Goudy Old Style" w:hAnsi="Goudy Old Style" w:cs="Goudy Old Style"/>
          <w:bCs/>
        </w:rPr>
      </w:pPr>
      <w:r w:rsidRPr="00BE3534">
        <w:rPr>
          <w:rFonts w:ascii="Goudy Old Style" w:hAnsi="Goudy Old Style" w:cs="Goudy Old Style"/>
          <w:bCs/>
        </w:rPr>
        <w:tab/>
      </w:r>
    </w:p>
    <w:p w:rsidR="005D7FB2" w:rsidRPr="00673F94" w:rsidRDefault="005D7FB2" w:rsidP="005D7FB2">
      <w:pPr>
        <w:rPr>
          <w:rFonts w:ascii="Goudy Old Style" w:hAnsi="Goudy Old Style" w:cs="Goudy Old Style"/>
          <w:bCs/>
          <w:i/>
        </w:rPr>
      </w:pPr>
      <w:r w:rsidRPr="00BE3534">
        <w:rPr>
          <w:rFonts w:ascii="Goudy Old Style" w:hAnsi="Goudy Old Style" w:cs="Goudy Old Style"/>
          <w:bCs/>
        </w:rPr>
        <w:tab/>
      </w:r>
      <w:r w:rsidRPr="00BE3534">
        <w:rPr>
          <w:rFonts w:ascii="Goudy Old Style" w:hAnsi="Goudy Old Style" w:cs="Goudy Old Style"/>
          <w:bCs/>
        </w:rPr>
        <w:tab/>
      </w:r>
      <w:r w:rsidRPr="00BE3534">
        <w:rPr>
          <w:rFonts w:ascii="Goudy Old Style" w:hAnsi="Goudy Old Style" w:cs="Goudy Old Style"/>
          <w:bCs/>
        </w:rPr>
        <w:tab/>
      </w:r>
      <w:r w:rsidRPr="00BE3534">
        <w:rPr>
          <w:rFonts w:ascii="Goudy Old Style" w:hAnsi="Goudy Old Style" w:cs="Goudy Old Style"/>
          <w:bCs/>
        </w:rPr>
        <w:tab/>
      </w:r>
      <w:r w:rsidRPr="00BE3534">
        <w:rPr>
          <w:rFonts w:ascii="Goudy Old Style" w:hAnsi="Goudy Old Style" w:cs="Goudy Old Style"/>
          <w:bCs/>
        </w:rPr>
        <w:tab/>
      </w:r>
      <w:r w:rsidRPr="00BE3534">
        <w:rPr>
          <w:rFonts w:ascii="Goudy Old Style" w:hAnsi="Goudy Old Style" w:cs="Goudy Old Style"/>
          <w:bCs/>
        </w:rPr>
        <w:tab/>
      </w:r>
      <w:r w:rsidRPr="00BE3534">
        <w:rPr>
          <w:rFonts w:ascii="Goudy Old Style" w:hAnsi="Goudy Old Style" w:cs="Goudy Old Style"/>
          <w:bCs/>
        </w:rPr>
        <w:tab/>
      </w:r>
      <w:r w:rsidRPr="00673F94">
        <w:rPr>
          <w:rFonts w:ascii="Goudy Old Style" w:hAnsi="Goudy Old Style" w:cs="Goudy Old Style"/>
          <w:bCs/>
          <w:i/>
        </w:rPr>
        <w:t xml:space="preserve">— </w:t>
      </w:r>
      <w:r w:rsidR="00ED1DD7" w:rsidRPr="00673F94">
        <w:rPr>
          <w:rFonts w:ascii="Goudy Old Style" w:hAnsi="Goudy Old Style" w:cs="Goudy Old Style"/>
          <w:bCs/>
          <w:i/>
          <w:caps/>
        </w:rPr>
        <w:t>Darren J. Bogié</w:t>
      </w:r>
    </w:p>
    <w:p w:rsidR="005D7FB2" w:rsidRDefault="005D7FB2"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7B3DC6" w:rsidRDefault="007B3DC6"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D93E5E" w:rsidRDefault="00D93E5E" w:rsidP="005D7FB2">
      <w:pPr>
        <w:rPr>
          <w:rFonts w:ascii="Goudy Old Style" w:hAnsi="Goudy Old Style" w:cs="Goudy Old Style"/>
          <w:bCs/>
        </w:rPr>
      </w:pPr>
    </w:p>
    <w:p w:rsidR="005D7FB2" w:rsidRPr="00BE3534" w:rsidRDefault="005D7FB2" w:rsidP="005D7FB2">
      <w:pPr>
        <w:rPr>
          <w:rFonts w:ascii="Goudy Old Style" w:hAnsi="Goudy Old Style" w:cs="Goudy Old Style"/>
          <w:bCs/>
        </w:rPr>
      </w:pPr>
      <w:r w:rsidRPr="00BE3534">
        <w:rPr>
          <w:rFonts w:ascii="Goudy Old Style" w:hAnsi="Goudy Old Style" w:cs="Goudy Old Style"/>
          <w:bCs/>
        </w:rPr>
        <w:t>______________________________________</w:t>
      </w:r>
    </w:p>
    <w:p w:rsidR="005D7FB2" w:rsidRPr="00BE3534" w:rsidRDefault="005D7FB2" w:rsidP="005D7FB2">
      <w:pPr>
        <w:rPr>
          <w:rFonts w:ascii="Goudy Old Style" w:hAnsi="Goudy Old Style" w:cs="Goudy Old Style"/>
          <w:bCs/>
        </w:rPr>
      </w:pPr>
    </w:p>
    <w:p w:rsidR="005D7FB2" w:rsidRPr="004F3F72" w:rsidRDefault="005D7FB2" w:rsidP="005D7FB2">
      <w:pPr>
        <w:rPr>
          <w:rFonts w:ascii="Courier" w:hAnsi="Courier"/>
        </w:rPr>
      </w:pPr>
      <w:r w:rsidRPr="00D964AD">
        <w:rPr>
          <w:rFonts w:ascii="Goudy Old Style" w:hAnsi="Goudy Old Style" w:cs="Goudy Old Style"/>
          <w:bCs/>
          <w:i/>
          <w:sz w:val="22"/>
          <w:szCs w:val="22"/>
        </w:rPr>
        <w:t>Education Law Updates are intended to alert clients to developments in legislation, opinions of courts and administrative bodies and related matters.  They are not intended as legal advice in any specific situation.  Please consult legal counsel as to how the issue presented may affect your particular circumstances.</w:t>
      </w:r>
    </w:p>
    <w:p w:rsidR="00DC4057" w:rsidRPr="001077CD" w:rsidRDefault="00DC4057" w:rsidP="0037050D">
      <w:pPr>
        <w:spacing w:line="235" w:lineRule="auto"/>
        <w:jc w:val="both"/>
      </w:pPr>
    </w:p>
    <w:sectPr w:rsidR="00DC4057" w:rsidRPr="001077CD" w:rsidSect="00F431FF">
      <w:footerReference w:type="default" r:id="rId12"/>
      <w:pgSz w:w="12240" w:h="15840"/>
      <w:pgMar w:top="1080" w:right="1440" w:bottom="1350" w:left="1440" w:header="1080" w:footer="12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73" w:rsidRDefault="00B87F73">
      <w:r>
        <w:separator/>
      </w:r>
    </w:p>
  </w:endnote>
  <w:endnote w:type="continuationSeparator" w:id="0">
    <w:p w:rsidR="00B87F73" w:rsidRDefault="00B8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22" w:rsidRPr="00FA4CC1" w:rsidRDefault="00292422" w:rsidP="00292422">
    <w:pPr>
      <w:widowControl/>
      <w:ind w:right="-1080"/>
      <w:rPr>
        <w:color w:val="703504"/>
      </w:rPr>
    </w:pPr>
    <w:r w:rsidRPr="00FA4CC1">
      <w:rPr>
        <w:color w:val="703504"/>
      </w:rPr>
      <w:t>____________________________________________________</w:t>
    </w:r>
    <w:r>
      <w:rPr>
        <w:color w:val="703504"/>
      </w:rPr>
      <w:t>__</w:t>
    </w:r>
    <w:r w:rsidRPr="00FA4CC1">
      <w:rPr>
        <w:color w:val="703504"/>
      </w:rPr>
      <w:t>___</w:t>
    </w:r>
    <w:r>
      <w:rPr>
        <w:color w:val="703504"/>
      </w:rPr>
      <w:t>_______</w:t>
    </w:r>
    <w:r w:rsidRPr="00FA4CC1">
      <w:rPr>
        <w:color w:val="703504"/>
      </w:rPr>
      <w:t>__</w:t>
    </w:r>
    <w:r>
      <w:rPr>
        <w:color w:val="703504"/>
      </w:rPr>
      <w:t>_</w:t>
    </w:r>
    <w:r w:rsidRPr="00FA4CC1">
      <w:rPr>
        <w:color w:val="703504"/>
      </w:rPr>
      <w:t>__</w:t>
    </w:r>
    <w:r w:rsidRPr="00FA4CC1">
      <w:rPr>
        <w:color w:val="703504"/>
      </w:rPr>
      <w:fldChar w:fldCharType="begin"/>
    </w:r>
    <w:r w:rsidRPr="00FA4CC1">
      <w:rPr>
        <w:color w:val="703504"/>
      </w:rPr>
      <w:instrText>ADVANCE \d 5</w:instrText>
    </w:r>
    <w:r w:rsidRPr="00FA4CC1">
      <w:rPr>
        <w:color w:val="703504"/>
      </w:rPr>
      <w:fldChar w:fldCharType="end"/>
    </w:r>
    <w:r w:rsidRPr="00FA4CC1">
      <w:rPr>
        <w:color w:val="703504"/>
      </w:rPr>
      <w:t>█</w:t>
    </w:r>
  </w:p>
  <w:p w:rsidR="00292422" w:rsidRPr="000B6A62" w:rsidRDefault="00292422" w:rsidP="00292422">
    <w:pPr>
      <w:widowControl/>
      <w:tabs>
        <w:tab w:val="left" w:pos="9810"/>
      </w:tabs>
      <w:ind w:right="-1350"/>
      <w:rPr>
        <w:sz w:val="21"/>
        <w:szCs w:val="21"/>
      </w:rPr>
    </w:pPr>
    <w:r w:rsidRPr="00FA4CC1">
      <w:rPr>
        <w:rFonts w:ascii="Goudy Old Style" w:hAnsi="Goudy Old Style" w:cs="Goudy Old Style"/>
        <w:i/>
        <w:iCs/>
        <w:color w:val="703504"/>
        <w:sz w:val="21"/>
        <w:szCs w:val="21"/>
      </w:rPr>
      <w:t>A joint powers entity providing legal &amp; collective bargaining service to California public education agencies since 1976</w:t>
    </w:r>
    <w:r>
      <w:rPr>
        <w:color w:val="703504"/>
        <w:sz w:val="21"/>
        <w:szCs w:val="21"/>
      </w:rPr>
      <w:t>.</w:t>
    </w:r>
    <w:r w:rsidRPr="00E97E6E">
      <w:rPr>
        <w:color w:val="703504"/>
        <w:sz w:val="21"/>
        <w:szCs w:val="21"/>
      </w:rPr>
      <w:t xml:space="preserve"> </w:t>
    </w:r>
    <w:r>
      <w:rPr>
        <w:color w:val="703504"/>
        <w:sz w:val="21"/>
        <w:szCs w:val="21"/>
      </w:rPr>
      <w:tab/>
    </w:r>
    <w:r w:rsidRPr="005A539B">
      <w:rPr>
        <w:rFonts w:ascii="Goudy Old Style" w:hAnsi="Goudy Old Style"/>
        <w:sz w:val="20"/>
        <w:szCs w:val="20"/>
      </w:rPr>
      <w:t xml:space="preserve">Page </w:t>
    </w:r>
    <w:r w:rsidRPr="005A539B">
      <w:rPr>
        <w:rFonts w:ascii="Goudy Old Style" w:hAnsi="Goudy Old Style"/>
        <w:sz w:val="20"/>
        <w:szCs w:val="20"/>
      </w:rPr>
      <w:fldChar w:fldCharType="begin"/>
    </w:r>
    <w:r w:rsidRPr="005A539B">
      <w:rPr>
        <w:rFonts w:ascii="Goudy Old Style" w:hAnsi="Goudy Old Style"/>
        <w:sz w:val="20"/>
        <w:szCs w:val="20"/>
      </w:rPr>
      <w:instrText xml:space="preserve"> PAGE   \* MERGEFORMAT </w:instrText>
    </w:r>
    <w:r w:rsidRPr="005A539B">
      <w:rPr>
        <w:rFonts w:ascii="Goudy Old Style" w:hAnsi="Goudy Old Style"/>
        <w:sz w:val="20"/>
        <w:szCs w:val="20"/>
      </w:rPr>
      <w:fldChar w:fldCharType="separate"/>
    </w:r>
    <w:r w:rsidR="00344D74">
      <w:rPr>
        <w:rFonts w:ascii="Goudy Old Style" w:hAnsi="Goudy Old Style"/>
        <w:noProof/>
        <w:sz w:val="20"/>
        <w:szCs w:val="20"/>
      </w:rPr>
      <w:t>1</w:t>
    </w:r>
    <w:r w:rsidRPr="005A539B">
      <w:rPr>
        <w:rFonts w:ascii="Goudy Old Style" w:hAnsi="Goudy Old Style"/>
        <w:noProof/>
        <w:sz w:val="20"/>
        <w:szCs w:val="20"/>
      </w:rPr>
      <w:fldChar w:fldCharType="end"/>
    </w:r>
  </w:p>
  <w:p w:rsidR="00292422" w:rsidRPr="000B6A62" w:rsidRDefault="00292422" w:rsidP="00292422">
    <w:pPr>
      <w:widowControl/>
      <w:tabs>
        <w:tab w:val="left" w:pos="9810"/>
      </w:tabs>
      <w:ind w:right="-1350"/>
      <w:rPr>
        <w:sz w:val="21"/>
        <w:szCs w:val="21"/>
      </w:rPr>
    </w:pPr>
  </w:p>
  <w:p w:rsidR="004D01C1" w:rsidRPr="000B6A62" w:rsidRDefault="004D01C1" w:rsidP="004D01C1">
    <w:pPr>
      <w:widowControl/>
      <w:tabs>
        <w:tab w:val="left" w:pos="3206"/>
      </w:tabs>
      <w:ind w:right="-1350"/>
      <w:rPr>
        <w:sz w:val="21"/>
        <w:szCs w:val="21"/>
      </w:rPr>
    </w:pPr>
    <w:r>
      <w:rPr>
        <w:sz w:val="21"/>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73" w:rsidRDefault="00B87F73">
      <w:r>
        <w:separator/>
      </w:r>
    </w:p>
  </w:footnote>
  <w:footnote w:type="continuationSeparator" w:id="0">
    <w:p w:rsidR="00B87F73" w:rsidRDefault="00B87F73">
      <w:r>
        <w:continuationSeparator/>
      </w:r>
    </w:p>
  </w:footnote>
  <w:footnote w:id="1">
    <w:p w:rsidR="00F5047E" w:rsidRDefault="00F5047E">
      <w:pPr>
        <w:pStyle w:val="FootnoteText"/>
      </w:pPr>
      <w:r>
        <w:rPr>
          <w:rStyle w:val="FootnoteReference"/>
        </w:rPr>
        <w:footnoteRef/>
      </w:r>
      <w:r>
        <w:t xml:space="preserve">  </w:t>
      </w:r>
      <w:r w:rsidRPr="00F5047E">
        <w:rPr>
          <w:rFonts w:ascii="Goudy Old Style" w:hAnsi="Goudy Old Style"/>
        </w:rPr>
        <w:t>U</w:t>
      </w:r>
      <w:r>
        <w:rPr>
          <w:rFonts w:ascii="Goudy Old Style" w:hAnsi="Goudy Old Style"/>
        </w:rPr>
        <w:t>.</w:t>
      </w:r>
      <w:r w:rsidRPr="00F5047E">
        <w:rPr>
          <w:rFonts w:ascii="Goudy Old Style" w:hAnsi="Goudy Old Style"/>
        </w:rPr>
        <w:t>S</w:t>
      </w:r>
      <w:r>
        <w:rPr>
          <w:rFonts w:ascii="Goudy Old Style" w:hAnsi="Goudy Old Style"/>
        </w:rPr>
        <w:t>.</w:t>
      </w:r>
      <w:r w:rsidRPr="00F5047E">
        <w:rPr>
          <w:rFonts w:ascii="Goudy Old Style" w:hAnsi="Goudy Old Style"/>
        </w:rPr>
        <w:t xml:space="preserve"> Department of Ed</w:t>
      </w:r>
      <w:r>
        <w:rPr>
          <w:rFonts w:ascii="Goudy Old Style" w:hAnsi="Goudy Old Style"/>
        </w:rPr>
        <w:t>uca</w:t>
      </w:r>
      <w:r w:rsidRPr="00F5047E">
        <w:rPr>
          <w:rFonts w:ascii="Goudy Old Style" w:hAnsi="Goudy Old Style"/>
        </w:rPr>
        <w:t xml:space="preserve">tion, </w:t>
      </w:r>
      <w:r>
        <w:rPr>
          <w:rFonts w:ascii="Goudy Old Style" w:hAnsi="Goudy Old Style"/>
        </w:rPr>
        <w:t>Office</w:t>
      </w:r>
      <w:r w:rsidR="00F629ED">
        <w:rPr>
          <w:rFonts w:ascii="Goudy Old Style" w:hAnsi="Goudy Old Style"/>
        </w:rPr>
        <w:t xml:space="preserve"> for Civ</w:t>
      </w:r>
      <w:r w:rsidRPr="00F5047E">
        <w:rPr>
          <w:rFonts w:ascii="Goudy Old Style" w:hAnsi="Goudy Old Style"/>
        </w:rPr>
        <w:t>il Rights</w:t>
      </w:r>
      <w:r w:rsidR="00F629ED">
        <w:rPr>
          <w:rFonts w:ascii="Goudy Old Style" w:hAnsi="Goudy Old Style"/>
        </w:rPr>
        <w:t>,</w:t>
      </w:r>
      <w:r w:rsidRPr="00F5047E">
        <w:rPr>
          <w:rFonts w:ascii="Goudy Old Style" w:hAnsi="Goudy Old Style"/>
        </w:rPr>
        <w:t xml:space="preserve"> Students with ADHD and Section 504: A Resource Guide, July 2016, page 10.</w:t>
      </w:r>
      <w:r w:rsidR="008C4D95">
        <w:rPr>
          <w:rFonts w:ascii="Goudy Old Style" w:hAnsi="Goudy Old Style"/>
        </w:rPr>
        <w:t xml:space="preserve">  (Posted on SLS Website.)</w:t>
      </w:r>
    </w:p>
  </w:footnote>
  <w:footnote w:id="2">
    <w:p w:rsidR="00D7202E" w:rsidRDefault="00D7202E">
      <w:pPr>
        <w:pStyle w:val="FootnoteText"/>
      </w:pPr>
      <w:r>
        <w:rPr>
          <w:rStyle w:val="FootnoteReference"/>
        </w:rPr>
        <w:footnoteRef/>
      </w:r>
      <w:r>
        <w:t xml:space="preserve"> </w:t>
      </w:r>
      <w:r w:rsidRPr="00D7202E">
        <w:rPr>
          <w:rFonts w:ascii="Goudy Old Style" w:hAnsi="Goudy Old Style"/>
          <w:i/>
        </w:rPr>
        <w:t>Supra</w:t>
      </w:r>
      <w:r w:rsidRPr="00D7202E">
        <w:rPr>
          <w:rFonts w:ascii="Goudy Old Style" w:hAnsi="Goudy Old Style"/>
        </w:rPr>
        <w:t>, page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05CA"/>
    <w:multiLevelType w:val="multilevel"/>
    <w:tmpl w:val="698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DF3ADB"/>
    <w:multiLevelType w:val="multilevel"/>
    <w:tmpl w:val="4458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A333E"/>
    <w:multiLevelType w:val="hybridMultilevel"/>
    <w:tmpl w:val="3AEA9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8583892"/>
    <w:multiLevelType w:val="multilevel"/>
    <w:tmpl w:val="0F54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start w:val="1"/>
        <w:numFmt w:val="lowerLetter"/>
        <w:lvlText w:val="%1."/>
        <w:lvlJc w:val="left"/>
        <w:pPr>
          <w:ind w:left="720" w:firstLine="72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CE"/>
    <w:rsid w:val="00006789"/>
    <w:rsid w:val="00023953"/>
    <w:rsid w:val="000469FE"/>
    <w:rsid w:val="000559F0"/>
    <w:rsid w:val="00060635"/>
    <w:rsid w:val="0006640F"/>
    <w:rsid w:val="000B6A62"/>
    <w:rsid w:val="000C6B11"/>
    <w:rsid w:val="000C70B3"/>
    <w:rsid w:val="000E5BBA"/>
    <w:rsid w:val="000E7625"/>
    <w:rsid w:val="001077CD"/>
    <w:rsid w:val="00120A8F"/>
    <w:rsid w:val="001375AC"/>
    <w:rsid w:val="00142010"/>
    <w:rsid w:val="00146E1F"/>
    <w:rsid w:val="00153140"/>
    <w:rsid w:val="00161961"/>
    <w:rsid w:val="00162862"/>
    <w:rsid w:val="00173CD7"/>
    <w:rsid w:val="001933B9"/>
    <w:rsid w:val="001C4B6A"/>
    <w:rsid w:val="001C6A29"/>
    <w:rsid w:val="002131BB"/>
    <w:rsid w:val="00262274"/>
    <w:rsid w:val="00281936"/>
    <w:rsid w:val="00292422"/>
    <w:rsid w:val="002977E7"/>
    <w:rsid w:val="002B104A"/>
    <w:rsid w:val="002B1314"/>
    <w:rsid w:val="002B1C92"/>
    <w:rsid w:val="002B2E54"/>
    <w:rsid w:val="002F5FA7"/>
    <w:rsid w:val="003028F3"/>
    <w:rsid w:val="00315E58"/>
    <w:rsid w:val="003201DE"/>
    <w:rsid w:val="00341AC7"/>
    <w:rsid w:val="0034430A"/>
    <w:rsid w:val="00344D74"/>
    <w:rsid w:val="00346677"/>
    <w:rsid w:val="00361DC7"/>
    <w:rsid w:val="0037050D"/>
    <w:rsid w:val="003752AD"/>
    <w:rsid w:val="00376702"/>
    <w:rsid w:val="003822CE"/>
    <w:rsid w:val="00392272"/>
    <w:rsid w:val="003A2E16"/>
    <w:rsid w:val="003D0878"/>
    <w:rsid w:val="003E76AE"/>
    <w:rsid w:val="003F50A9"/>
    <w:rsid w:val="004034B7"/>
    <w:rsid w:val="00426C0E"/>
    <w:rsid w:val="004503AC"/>
    <w:rsid w:val="00450565"/>
    <w:rsid w:val="00457EAE"/>
    <w:rsid w:val="0046316D"/>
    <w:rsid w:val="004647D2"/>
    <w:rsid w:val="00466FD1"/>
    <w:rsid w:val="00493396"/>
    <w:rsid w:val="004A0CB2"/>
    <w:rsid w:val="004A1C89"/>
    <w:rsid w:val="004C025F"/>
    <w:rsid w:val="004D01C1"/>
    <w:rsid w:val="004F3F72"/>
    <w:rsid w:val="0050689E"/>
    <w:rsid w:val="00510E82"/>
    <w:rsid w:val="00515236"/>
    <w:rsid w:val="005211DB"/>
    <w:rsid w:val="0055256F"/>
    <w:rsid w:val="00561A31"/>
    <w:rsid w:val="00570CAE"/>
    <w:rsid w:val="00586F28"/>
    <w:rsid w:val="00590846"/>
    <w:rsid w:val="005A396F"/>
    <w:rsid w:val="005A539B"/>
    <w:rsid w:val="005A6B35"/>
    <w:rsid w:val="005B003D"/>
    <w:rsid w:val="005B1757"/>
    <w:rsid w:val="005D7FB2"/>
    <w:rsid w:val="006051AE"/>
    <w:rsid w:val="00627D7F"/>
    <w:rsid w:val="00635C35"/>
    <w:rsid w:val="006408B8"/>
    <w:rsid w:val="006419F4"/>
    <w:rsid w:val="00661A4E"/>
    <w:rsid w:val="006651BA"/>
    <w:rsid w:val="00666D45"/>
    <w:rsid w:val="00673F94"/>
    <w:rsid w:val="006808EC"/>
    <w:rsid w:val="006C667C"/>
    <w:rsid w:val="006D3AD5"/>
    <w:rsid w:val="006E6E14"/>
    <w:rsid w:val="006F2CE4"/>
    <w:rsid w:val="006F648D"/>
    <w:rsid w:val="00706687"/>
    <w:rsid w:val="007122F5"/>
    <w:rsid w:val="0071351C"/>
    <w:rsid w:val="007261B3"/>
    <w:rsid w:val="007421D1"/>
    <w:rsid w:val="00757533"/>
    <w:rsid w:val="00761F34"/>
    <w:rsid w:val="007747FA"/>
    <w:rsid w:val="00790960"/>
    <w:rsid w:val="007B14C6"/>
    <w:rsid w:val="007B3DC6"/>
    <w:rsid w:val="007B5D8A"/>
    <w:rsid w:val="007C3A61"/>
    <w:rsid w:val="007C663A"/>
    <w:rsid w:val="00802B6C"/>
    <w:rsid w:val="00804D6A"/>
    <w:rsid w:val="0081675D"/>
    <w:rsid w:val="0082166D"/>
    <w:rsid w:val="00827B06"/>
    <w:rsid w:val="008431B1"/>
    <w:rsid w:val="00855EFE"/>
    <w:rsid w:val="00856CCA"/>
    <w:rsid w:val="00864F49"/>
    <w:rsid w:val="008764A1"/>
    <w:rsid w:val="008855D9"/>
    <w:rsid w:val="008B5E03"/>
    <w:rsid w:val="008B6146"/>
    <w:rsid w:val="008C0B36"/>
    <w:rsid w:val="008C4D95"/>
    <w:rsid w:val="008C6C52"/>
    <w:rsid w:val="008D0EF5"/>
    <w:rsid w:val="008D2BB8"/>
    <w:rsid w:val="008D3064"/>
    <w:rsid w:val="008D70D9"/>
    <w:rsid w:val="008D7E36"/>
    <w:rsid w:val="008F46CA"/>
    <w:rsid w:val="008F76F5"/>
    <w:rsid w:val="00905880"/>
    <w:rsid w:val="00905D63"/>
    <w:rsid w:val="009074BB"/>
    <w:rsid w:val="0091154A"/>
    <w:rsid w:val="00913AD4"/>
    <w:rsid w:val="00940ECD"/>
    <w:rsid w:val="00950D2E"/>
    <w:rsid w:val="00957B28"/>
    <w:rsid w:val="00976409"/>
    <w:rsid w:val="009829C9"/>
    <w:rsid w:val="00993457"/>
    <w:rsid w:val="00996F22"/>
    <w:rsid w:val="009A0537"/>
    <w:rsid w:val="009A47F5"/>
    <w:rsid w:val="009B47BF"/>
    <w:rsid w:val="009E7CBC"/>
    <w:rsid w:val="009F04D1"/>
    <w:rsid w:val="009F1449"/>
    <w:rsid w:val="009F31C7"/>
    <w:rsid w:val="00A10828"/>
    <w:rsid w:val="00A20619"/>
    <w:rsid w:val="00A36765"/>
    <w:rsid w:val="00A7381E"/>
    <w:rsid w:val="00AB3E07"/>
    <w:rsid w:val="00AB6A4F"/>
    <w:rsid w:val="00AC5BCA"/>
    <w:rsid w:val="00AC5C8D"/>
    <w:rsid w:val="00AD1068"/>
    <w:rsid w:val="00AE14FE"/>
    <w:rsid w:val="00AE50CA"/>
    <w:rsid w:val="00AE70B0"/>
    <w:rsid w:val="00B025DA"/>
    <w:rsid w:val="00B470A0"/>
    <w:rsid w:val="00B5168D"/>
    <w:rsid w:val="00B72700"/>
    <w:rsid w:val="00B87F73"/>
    <w:rsid w:val="00BA0306"/>
    <w:rsid w:val="00BA7D18"/>
    <w:rsid w:val="00BD4D2F"/>
    <w:rsid w:val="00BE24C2"/>
    <w:rsid w:val="00BE3534"/>
    <w:rsid w:val="00BF6775"/>
    <w:rsid w:val="00C06732"/>
    <w:rsid w:val="00C11DD6"/>
    <w:rsid w:val="00C26D44"/>
    <w:rsid w:val="00C41D20"/>
    <w:rsid w:val="00C550D0"/>
    <w:rsid w:val="00C57211"/>
    <w:rsid w:val="00C618A2"/>
    <w:rsid w:val="00C622D8"/>
    <w:rsid w:val="00C63CF1"/>
    <w:rsid w:val="00C67222"/>
    <w:rsid w:val="00C772D1"/>
    <w:rsid w:val="00C8737F"/>
    <w:rsid w:val="00CB0119"/>
    <w:rsid w:val="00CC2071"/>
    <w:rsid w:val="00CE1D00"/>
    <w:rsid w:val="00CE46D2"/>
    <w:rsid w:val="00CF2D34"/>
    <w:rsid w:val="00D01EED"/>
    <w:rsid w:val="00D02908"/>
    <w:rsid w:val="00D2464C"/>
    <w:rsid w:val="00D25E73"/>
    <w:rsid w:val="00D304B5"/>
    <w:rsid w:val="00D3580F"/>
    <w:rsid w:val="00D5195B"/>
    <w:rsid w:val="00D7202E"/>
    <w:rsid w:val="00D837DC"/>
    <w:rsid w:val="00D85464"/>
    <w:rsid w:val="00D87035"/>
    <w:rsid w:val="00D93E5E"/>
    <w:rsid w:val="00D964AD"/>
    <w:rsid w:val="00DB2167"/>
    <w:rsid w:val="00DC4057"/>
    <w:rsid w:val="00DC6E0B"/>
    <w:rsid w:val="00DF41B8"/>
    <w:rsid w:val="00E03833"/>
    <w:rsid w:val="00E22FAF"/>
    <w:rsid w:val="00E34098"/>
    <w:rsid w:val="00E34375"/>
    <w:rsid w:val="00E670E8"/>
    <w:rsid w:val="00E67360"/>
    <w:rsid w:val="00E763CE"/>
    <w:rsid w:val="00E873A5"/>
    <w:rsid w:val="00E97E6E"/>
    <w:rsid w:val="00EA077C"/>
    <w:rsid w:val="00EB77FC"/>
    <w:rsid w:val="00EC5906"/>
    <w:rsid w:val="00ED1DD7"/>
    <w:rsid w:val="00ED4E13"/>
    <w:rsid w:val="00EF2C23"/>
    <w:rsid w:val="00F431FF"/>
    <w:rsid w:val="00F4658B"/>
    <w:rsid w:val="00F5047E"/>
    <w:rsid w:val="00F5160F"/>
    <w:rsid w:val="00F629ED"/>
    <w:rsid w:val="00F747F3"/>
    <w:rsid w:val="00FA16EE"/>
    <w:rsid w:val="00FA4CC1"/>
    <w:rsid w:val="00FB08BB"/>
    <w:rsid w:val="00FD34FE"/>
    <w:rsid w:val="00FD4065"/>
    <w:rsid w:val="00FE3E28"/>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Level9">
    <w:name w:val="Level 9"/>
    <w:uiPriority w:val="99"/>
    <w:pPr>
      <w:widowControl w:val="0"/>
      <w:autoSpaceDE w:val="0"/>
      <w:autoSpaceDN w:val="0"/>
      <w:adjustRightInd w:val="0"/>
      <w:ind w:left="-1440"/>
      <w:jc w:val="both"/>
    </w:pPr>
    <w:rPr>
      <w:rFonts w:ascii="Arial" w:hAnsi="Arial" w:cs="Arial"/>
      <w:b/>
      <w:bCs/>
      <w:sz w:val="24"/>
      <w:szCs w:val="24"/>
    </w:rPr>
  </w:style>
  <w:style w:type="paragraph" w:customStyle="1" w:styleId="26">
    <w:name w:val="_26"/>
    <w:uiPriority w:val="99"/>
    <w:pPr>
      <w:widowControl w:val="0"/>
      <w:autoSpaceDE w:val="0"/>
      <w:autoSpaceDN w:val="0"/>
      <w:adjustRightInd w:val="0"/>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680"/>
        <w:tab w:val="right" w:pos="9356"/>
      </w:tabs>
      <w:jc w:val="both"/>
    </w:pPr>
    <w:rPr>
      <w:sz w:val="22"/>
      <w:szCs w:val="22"/>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left" w:pos="0"/>
        <w:tab w:val="center" w:pos="4680"/>
        <w:tab w:val="right" w:pos="9356"/>
      </w:tabs>
      <w:jc w:val="both"/>
    </w:pPr>
    <w:rPr>
      <w:sz w:val="22"/>
      <w:szCs w:val="22"/>
    </w:rPr>
  </w:style>
  <w:style w:type="character" w:customStyle="1" w:styleId="FooterChar">
    <w:name w:val="Footer Char"/>
    <w:link w:val="Footer"/>
    <w:uiPriority w:val="99"/>
    <w:locked/>
    <w:rPr>
      <w:rFonts w:cs="Times New Roman"/>
    </w:rPr>
  </w:style>
  <w:style w:type="paragraph" w:customStyle="1" w:styleId="DefinitionT">
    <w:name w:val="Definition T"/>
    <w:uiPriority w:val="99"/>
    <w:pPr>
      <w:widowControl w:val="0"/>
      <w:autoSpaceDE w:val="0"/>
      <w:autoSpaceDN w:val="0"/>
      <w:adjustRightInd w:val="0"/>
    </w:pPr>
    <w:rPr>
      <w:rFonts w:ascii="Arial" w:hAnsi="Arial" w:cs="Arial"/>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Arial" w:hAnsi="Arial" w:cs="Arial"/>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Arial" w:hAnsi="Arial" w:cs="Arial"/>
      <w:b/>
      <w:bCs/>
      <w:sz w:val="48"/>
      <w:szCs w:val="48"/>
    </w:rPr>
  </w:style>
  <w:style w:type="paragraph" w:customStyle="1" w:styleId="H2">
    <w:name w:val="H2"/>
    <w:uiPriority w:val="99"/>
    <w:pPr>
      <w:widowControl w:val="0"/>
      <w:autoSpaceDE w:val="0"/>
      <w:autoSpaceDN w:val="0"/>
      <w:adjustRightInd w:val="0"/>
    </w:pPr>
    <w:rPr>
      <w:rFonts w:ascii="Arial" w:hAnsi="Arial" w:cs="Arial"/>
      <w:b/>
      <w:bCs/>
      <w:sz w:val="36"/>
      <w:szCs w:val="36"/>
    </w:rPr>
  </w:style>
  <w:style w:type="paragraph" w:customStyle="1" w:styleId="H3">
    <w:name w:val="H3"/>
    <w:uiPriority w:val="99"/>
    <w:pPr>
      <w:widowControl w:val="0"/>
      <w:autoSpaceDE w:val="0"/>
      <w:autoSpaceDN w:val="0"/>
      <w:adjustRightInd w:val="0"/>
    </w:pPr>
    <w:rPr>
      <w:rFonts w:ascii="Arial" w:hAnsi="Arial" w:cs="Arial"/>
      <w:b/>
      <w:bCs/>
      <w:sz w:val="28"/>
      <w:szCs w:val="28"/>
    </w:rPr>
  </w:style>
  <w:style w:type="paragraph" w:customStyle="1" w:styleId="H4">
    <w:name w:val="H4"/>
    <w:uiPriority w:val="99"/>
    <w:pPr>
      <w:widowControl w:val="0"/>
      <w:autoSpaceDE w:val="0"/>
      <w:autoSpaceDN w:val="0"/>
      <w:adjustRightInd w:val="0"/>
    </w:pPr>
    <w:rPr>
      <w:rFonts w:ascii="Arial" w:hAnsi="Arial" w:cs="Arial"/>
      <w:b/>
      <w:bCs/>
      <w:sz w:val="24"/>
      <w:szCs w:val="24"/>
    </w:rPr>
  </w:style>
  <w:style w:type="paragraph" w:customStyle="1" w:styleId="H5">
    <w:name w:val="H5"/>
    <w:uiPriority w:val="99"/>
    <w:pPr>
      <w:widowControl w:val="0"/>
      <w:autoSpaceDE w:val="0"/>
      <w:autoSpaceDN w:val="0"/>
      <w:adjustRightInd w:val="0"/>
    </w:pPr>
    <w:rPr>
      <w:rFonts w:ascii="Arial" w:hAnsi="Arial" w:cs="Arial"/>
      <w:b/>
      <w:bCs/>
      <w:sz w:val="24"/>
      <w:szCs w:val="24"/>
    </w:rPr>
  </w:style>
  <w:style w:type="paragraph" w:customStyle="1" w:styleId="H6">
    <w:name w:val="H6"/>
    <w:uiPriority w:val="99"/>
    <w:pPr>
      <w:widowControl w:val="0"/>
      <w:autoSpaceDE w:val="0"/>
      <w:autoSpaceDN w:val="0"/>
      <w:adjustRightInd w:val="0"/>
    </w:pPr>
    <w:rPr>
      <w:rFonts w:ascii="Arial" w:hAnsi="Arial" w:cs="Arial"/>
      <w:b/>
      <w:bCs/>
      <w:sz w:val="16"/>
      <w:szCs w:val="16"/>
    </w:rPr>
  </w:style>
  <w:style w:type="paragraph" w:customStyle="1" w:styleId="Address">
    <w:name w:val="Address"/>
    <w:uiPriority w:val="99"/>
    <w:pPr>
      <w:widowControl w:val="0"/>
      <w:autoSpaceDE w:val="0"/>
      <w:autoSpaceDN w:val="0"/>
      <w:adjustRightInd w:val="0"/>
    </w:pPr>
    <w:rPr>
      <w:rFonts w:ascii="Arial" w:hAnsi="Arial" w:cs="Arial"/>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Arial" w:hAnsi="Arial" w:cs="Arial"/>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alloonText">
    <w:name w:val="Balloon Text"/>
    <w:basedOn w:val="Normal"/>
    <w:link w:val="BalloonTextChar"/>
    <w:uiPriority w:val="99"/>
    <w:semiHidden/>
    <w:unhideWhenUsed/>
    <w:rsid w:val="00FD34FE"/>
    <w:rPr>
      <w:rFonts w:ascii="Tahoma" w:hAnsi="Tahoma" w:cs="Tahoma"/>
      <w:sz w:val="16"/>
      <w:szCs w:val="16"/>
    </w:rPr>
  </w:style>
  <w:style w:type="character" w:customStyle="1" w:styleId="BalloonTextChar">
    <w:name w:val="Balloon Text Char"/>
    <w:link w:val="BalloonText"/>
    <w:uiPriority w:val="99"/>
    <w:semiHidden/>
    <w:locked/>
    <w:rsid w:val="00FD34FE"/>
    <w:rPr>
      <w:rFonts w:ascii="Tahoma" w:hAnsi="Tahoma" w:cs="Tahoma"/>
      <w:sz w:val="16"/>
      <w:szCs w:val="16"/>
    </w:rPr>
  </w:style>
  <w:style w:type="paragraph" w:styleId="FootnoteText">
    <w:name w:val="footnote text"/>
    <w:basedOn w:val="Normal"/>
    <w:link w:val="FootnoteTextChar"/>
    <w:uiPriority w:val="99"/>
    <w:semiHidden/>
    <w:unhideWhenUsed/>
    <w:rsid w:val="00D01EED"/>
    <w:pPr>
      <w:widowControl/>
      <w:autoSpaceDE/>
      <w:autoSpaceDN/>
      <w:adjustRightInd/>
    </w:pPr>
    <w:rPr>
      <w:rFonts w:ascii="Calibri" w:hAnsi="Calibri" w:cs="Times New Roman"/>
      <w:sz w:val="20"/>
      <w:szCs w:val="20"/>
    </w:rPr>
  </w:style>
  <w:style w:type="character" w:customStyle="1" w:styleId="FootnoteTextChar">
    <w:name w:val="Footnote Text Char"/>
    <w:link w:val="FootnoteText"/>
    <w:uiPriority w:val="99"/>
    <w:semiHidden/>
    <w:locked/>
    <w:rsid w:val="00D01EED"/>
    <w:rPr>
      <w:rFonts w:ascii="Calibri" w:hAnsi="Calibri" w:cs="Times New Roman"/>
      <w:sz w:val="20"/>
      <w:szCs w:val="20"/>
    </w:rPr>
  </w:style>
  <w:style w:type="character" w:styleId="FootnoteReference">
    <w:name w:val="footnote reference"/>
    <w:uiPriority w:val="99"/>
    <w:semiHidden/>
    <w:unhideWhenUsed/>
    <w:rsid w:val="00D01EED"/>
    <w:rPr>
      <w:rFonts w:cs="Times New Roman"/>
      <w:vertAlign w:val="superscript"/>
    </w:rPr>
  </w:style>
  <w:style w:type="character" w:styleId="CommentReference">
    <w:name w:val="annotation reference"/>
    <w:basedOn w:val="DefaultParagraphFont"/>
    <w:uiPriority w:val="99"/>
    <w:semiHidden/>
    <w:unhideWhenUsed/>
    <w:rsid w:val="008F46CA"/>
    <w:rPr>
      <w:sz w:val="16"/>
      <w:szCs w:val="16"/>
    </w:rPr>
  </w:style>
  <w:style w:type="paragraph" w:styleId="CommentText">
    <w:name w:val="annotation text"/>
    <w:basedOn w:val="Normal"/>
    <w:link w:val="CommentTextChar"/>
    <w:uiPriority w:val="99"/>
    <w:semiHidden/>
    <w:unhideWhenUsed/>
    <w:rsid w:val="008F46CA"/>
    <w:rPr>
      <w:sz w:val="20"/>
      <w:szCs w:val="20"/>
    </w:rPr>
  </w:style>
  <w:style w:type="character" w:customStyle="1" w:styleId="CommentTextChar">
    <w:name w:val="Comment Text Char"/>
    <w:basedOn w:val="DefaultParagraphFont"/>
    <w:link w:val="CommentText"/>
    <w:uiPriority w:val="99"/>
    <w:semiHidden/>
    <w:rsid w:val="008F46CA"/>
    <w:rPr>
      <w:rFonts w:ascii="Arial" w:hAnsi="Arial" w:cs="Arial"/>
    </w:rPr>
  </w:style>
  <w:style w:type="paragraph" w:styleId="CommentSubject">
    <w:name w:val="annotation subject"/>
    <w:basedOn w:val="CommentText"/>
    <w:next w:val="CommentText"/>
    <w:link w:val="CommentSubjectChar"/>
    <w:uiPriority w:val="99"/>
    <w:semiHidden/>
    <w:unhideWhenUsed/>
    <w:rsid w:val="008F46CA"/>
    <w:rPr>
      <w:b/>
      <w:bCs/>
    </w:rPr>
  </w:style>
  <w:style w:type="character" w:customStyle="1" w:styleId="CommentSubjectChar">
    <w:name w:val="Comment Subject Char"/>
    <w:basedOn w:val="CommentTextChar"/>
    <w:link w:val="CommentSubject"/>
    <w:uiPriority w:val="99"/>
    <w:semiHidden/>
    <w:rsid w:val="008F46CA"/>
    <w:rPr>
      <w:rFonts w:ascii="Arial" w:hAnsi="Arial" w:cs="Arial"/>
      <w:b/>
      <w:bCs/>
    </w:rPr>
  </w:style>
  <w:style w:type="paragraph" w:styleId="Revision">
    <w:name w:val="Revision"/>
    <w:hidden/>
    <w:uiPriority w:val="99"/>
    <w:semiHidden/>
    <w:rsid w:val="00D0290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Level9">
    <w:name w:val="Level 9"/>
    <w:uiPriority w:val="99"/>
    <w:pPr>
      <w:widowControl w:val="0"/>
      <w:autoSpaceDE w:val="0"/>
      <w:autoSpaceDN w:val="0"/>
      <w:adjustRightInd w:val="0"/>
      <w:ind w:left="-1440"/>
      <w:jc w:val="both"/>
    </w:pPr>
    <w:rPr>
      <w:rFonts w:ascii="Arial" w:hAnsi="Arial" w:cs="Arial"/>
      <w:b/>
      <w:bCs/>
      <w:sz w:val="24"/>
      <w:szCs w:val="24"/>
    </w:rPr>
  </w:style>
  <w:style w:type="paragraph" w:customStyle="1" w:styleId="26">
    <w:name w:val="_26"/>
    <w:uiPriority w:val="99"/>
    <w:pPr>
      <w:widowControl w:val="0"/>
      <w:autoSpaceDE w:val="0"/>
      <w:autoSpaceDN w:val="0"/>
      <w:adjustRightInd w:val="0"/>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s="Arial"/>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Arial" w:hAnsi="Arial" w:cs="Arial"/>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Arial" w:hAnsi="Arial" w:cs="Arial"/>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Arial" w:hAnsi="Arial" w:cs="Arial"/>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Arial" w:hAnsi="Arial" w:cs="Arial"/>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Arial" w:hAnsi="Arial" w:cs="Arial"/>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Arial" w:hAnsi="Arial" w:cs="Arial"/>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Arial" w:hAnsi="Arial" w:cs="Arial"/>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680"/>
        <w:tab w:val="right" w:pos="9356"/>
      </w:tabs>
      <w:jc w:val="both"/>
    </w:pPr>
    <w:rPr>
      <w:sz w:val="22"/>
      <w:szCs w:val="22"/>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left" w:pos="0"/>
        <w:tab w:val="center" w:pos="4680"/>
        <w:tab w:val="right" w:pos="9356"/>
      </w:tabs>
      <w:jc w:val="both"/>
    </w:pPr>
    <w:rPr>
      <w:sz w:val="22"/>
      <w:szCs w:val="22"/>
    </w:rPr>
  </w:style>
  <w:style w:type="character" w:customStyle="1" w:styleId="FooterChar">
    <w:name w:val="Footer Char"/>
    <w:link w:val="Footer"/>
    <w:uiPriority w:val="99"/>
    <w:locked/>
    <w:rPr>
      <w:rFonts w:cs="Times New Roman"/>
    </w:rPr>
  </w:style>
  <w:style w:type="paragraph" w:customStyle="1" w:styleId="DefinitionT">
    <w:name w:val="Definition T"/>
    <w:uiPriority w:val="99"/>
    <w:pPr>
      <w:widowControl w:val="0"/>
      <w:autoSpaceDE w:val="0"/>
      <w:autoSpaceDN w:val="0"/>
      <w:adjustRightInd w:val="0"/>
    </w:pPr>
    <w:rPr>
      <w:rFonts w:ascii="Arial" w:hAnsi="Arial" w:cs="Arial"/>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Arial" w:hAnsi="Arial" w:cs="Arial"/>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Arial" w:hAnsi="Arial" w:cs="Arial"/>
      <w:b/>
      <w:bCs/>
      <w:sz w:val="48"/>
      <w:szCs w:val="48"/>
    </w:rPr>
  </w:style>
  <w:style w:type="paragraph" w:customStyle="1" w:styleId="H2">
    <w:name w:val="H2"/>
    <w:uiPriority w:val="99"/>
    <w:pPr>
      <w:widowControl w:val="0"/>
      <w:autoSpaceDE w:val="0"/>
      <w:autoSpaceDN w:val="0"/>
      <w:adjustRightInd w:val="0"/>
    </w:pPr>
    <w:rPr>
      <w:rFonts w:ascii="Arial" w:hAnsi="Arial" w:cs="Arial"/>
      <w:b/>
      <w:bCs/>
      <w:sz w:val="36"/>
      <w:szCs w:val="36"/>
    </w:rPr>
  </w:style>
  <w:style w:type="paragraph" w:customStyle="1" w:styleId="H3">
    <w:name w:val="H3"/>
    <w:uiPriority w:val="99"/>
    <w:pPr>
      <w:widowControl w:val="0"/>
      <w:autoSpaceDE w:val="0"/>
      <w:autoSpaceDN w:val="0"/>
      <w:adjustRightInd w:val="0"/>
    </w:pPr>
    <w:rPr>
      <w:rFonts w:ascii="Arial" w:hAnsi="Arial" w:cs="Arial"/>
      <w:b/>
      <w:bCs/>
      <w:sz w:val="28"/>
      <w:szCs w:val="28"/>
    </w:rPr>
  </w:style>
  <w:style w:type="paragraph" w:customStyle="1" w:styleId="H4">
    <w:name w:val="H4"/>
    <w:uiPriority w:val="99"/>
    <w:pPr>
      <w:widowControl w:val="0"/>
      <w:autoSpaceDE w:val="0"/>
      <w:autoSpaceDN w:val="0"/>
      <w:adjustRightInd w:val="0"/>
    </w:pPr>
    <w:rPr>
      <w:rFonts w:ascii="Arial" w:hAnsi="Arial" w:cs="Arial"/>
      <w:b/>
      <w:bCs/>
      <w:sz w:val="24"/>
      <w:szCs w:val="24"/>
    </w:rPr>
  </w:style>
  <w:style w:type="paragraph" w:customStyle="1" w:styleId="H5">
    <w:name w:val="H5"/>
    <w:uiPriority w:val="99"/>
    <w:pPr>
      <w:widowControl w:val="0"/>
      <w:autoSpaceDE w:val="0"/>
      <w:autoSpaceDN w:val="0"/>
      <w:adjustRightInd w:val="0"/>
    </w:pPr>
    <w:rPr>
      <w:rFonts w:ascii="Arial" w:hAnsi="Arial" w:cs="Arial"/>
      <w:b/>
      <w:bCs/>
      <w:sz w:val="24"/>
      <w:szCs w:val="24"/>
    </w:rPr>
  </w:style>
  <w:style w:type="paragraph" w:customStyle="1" w:styleId="H6">
    <w:name w:val="H6"/>
    <w:uiPriority w:val="99"/>
    <w:pPr>
      <w:widowControl w:val="0"/>
      <w:autoSpaceDE w:val="0"/>
      <w:autoSpaceDN w:val="0"/>
      <w:adjustRightInd w:val="0"/>
    </w:pPr>
    <w:rPr>
      <w:rFonts w:ascii="Arial" w:hAnsi="Arial" w:cs="Arial"/>
      <w:b/>
      <w:bCs/>
      <w:sz w:val="16"/>
      <w:szCs w:val="16"/>
    </w:rPr>
  </w:style>
  <w:style w:type="paragraph" w:customStyle="1" w:styleId="Address">
    <w:name w:val="Address"/>
    <w:uiPriority w:val="99"/>
    <w:pPr>
      <w:widowControl w:val="0"/>
      <w:autoSpaceDE w:val="0"/>
      <w:autoSpaceDN w:val="0"/>
      <w:adjustRightInd w:val="0"/>
    </w:pPr>
    <w:rPr>
      <w:rFonts w:ascii="Arial" w:hAnsi="Arial" w:cs="Arial"/>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Arial" w:hAnsi="Arial" w:cs="Arial"/>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alloonText">
    <w:name w:val="Balloon Text"/>
    <w:basedOn w:val="Normal"/>
    <w:link w:val="BalloonTextChar"/>
    <w:uiPriority w:val="99"/>
    <w:semiHidden/>
    <w:unhideWhenUsed/>
    <w:rsid w:val="00FD34FE"/>
    <w:rPr>
      <w:rFonts w:ascii="Tahoma" w:hAnsi="Tahoma" w:cs="Tahoma"/>
      <w:sz w:val="16"/>
      <w:szCs w:val="16"/>
    </w:rPr>
  </w:style>
  <w:style w:type="character" w:customStyle="1" w:styleId="BalloonTextChar">
    <w:name w:val="Balloon Text Char"/>
    <w:link w:val="BalloonText"/>
    <w:uiPriority w:val="99"/>
    <w:semiHidden/>
    <w:locked/>
    <w:rsid w:val="00FD34FE"/>
    <w:rPr>
      <w:rFonts w:ascii="Tahoma" w:hAnsi="Tahoma" w:cs="Tahoma"/>
      <w:sz w:val="16"/>
      <w:szCs w:val="16"/>
    </w:rPr>
  </w:style>
  <w:style w:type="paragraph" w:styleId="FootnoteText">
    <w:name w:val="footnote text"/>
    <w:basedOn w:val="Normal"/>
    <w:link w:val="FootnoteTextChar"/>
    <w:uiPriority w:val="99"/>
    <w:semiHidden/>
    <w:unhideWhenUsed/>
    <w:rsid w:val="00D01EED"/>
    <w:pPr>
      <w:widowControl/>
      <w:autoSpaceDE/>
      <w:autoSpaceDN/>
      <w:adjustRightInd/>
    </w:pPr>
    <w:rPr>
      <w:rFonts w:ascii="Calibri" w:hAnsi="Calibri" w:cs="Times New Roman"/>
      <w:sz w:val="20"/>
      <w:szCs w:val="20"/>
    </w:rPr>
  </w:style>
  <w:style w:type="character" w:customStyle="1" w:styleId="FootnoteTextChar">
    <w:name w:val="Footnote Text Char"/>
    <w:link w:val="FootnoteText"/>
    <w:uiPriority w:val="99"/>
    <w:semiHidden/>
    <w:locked/>
    <w:rsid w:val="00D01EED"/>
    <w:rPr>
      <w:rFonts w:ascii="Calibri" w:hAnsi="Calibri" w:cs="Times New Roman"/>
      <w:sz w:val="20"/>
      <w:szCs w:val="20"/>
    </w:rPr>
  </w:style>
  <w:style w:type="character" w:styleId="FootnoteReference">
    <w:name w:val="footnote reference"/>
    <w:uiPriority w:val="99"/>
    <w:semiHidden/>
    <w:unhideWhenUsed/>
    <w:rsid w:val="00D01EED"/>
    <w:rPr>
      <w:rFonts w:cs="Times New Roman"/>
      <w:vertAlign w:val="superscript"/>
    </w:rPr>
  </w:style>
  <w:style w:type="character" w:styleId="CommentReference">
    <w:name w:val="annotation reference"/>
    <w:basedOn w:val="DefaultParagraphFont"/>
    <w:uiPriority w:val="99"/>
    <w:semiHidden/>
    <w:unhideWhenUsed/>
    <w:rsid w:val="008F46CA"/>
    <w:rPr>
      <w:sz w:val="16"/>
      <w:szCs w:val="16"/>
    </w:rPr>
  </w:style>
  <w:style w:type="paragraph" w:styleId="CommentText">
    <w:name w:val="annotation text"/>
    <w:basedOn w:val="Normal"/>
    <w:link w:val="CommentTextChar"/>
    <w:uiPriority w:val="99"/>
    <w:semiHidden/>
    <w:unhideWhenUsed/>
    <w:rsid w:val="008F46CA"/>
    <w:rPr>
      <w:sz w:val="20"/>
      <w:szCs w:val="20"/>
    </w:rPr>
  </w:style>
  <w:style w:type="character" w:customStyle="1" w:styleId="CommentTextChar">
    <w:name w:val="Comment Text Char"/>
    <w:basedOn w:val="DefaultParagraphFont"/>
    <w:link w:val="CommentText"/>
    <w:uiPriority w:val="99"/>
    <w:semiHidden/>
    <w:rsid w:val="008F46CA"/>
    <w:rPr>
      <w:rFonts w:ascii="Arial" w:hAnsi="Arial" w:cs="Arial"/>
    </w:rPr>
  </w:style>
  <w:style w:type="paragraph" w:styleId="CommentSubject">
    <w:name w:val="annotation subject"/>
    <w:basedOn w:val="CommentText"/>
    <w:next w:val="CommentText"/>
    <w:link w:val="CommentSubjectChar"/>
    <w:uiPriority w:val="99"/>
    <w:semiHidden/>
    <w:unhideWhenUsed/>
    <w:rsid w:val="008F46CA"/>
    <w:rPr>
      <w:b/>
      <w:bCs/>
    </w:rPr>
  </w:style>
  <w:style w:type="character" w:customStyle="1" w:styleId="CommentSubjectChar">
    <w:name w:val="Comment Subject Char"/>
    <w:basedOn w:val="CommentTextChar"/>
    <w:link w:val="CommentSubject"/>
    <w:uiPriority w:val="99"/>
    <w:semiHidden/>
    <w:rsid w:val="008F46CA"/>
    <w:rPr>
      <w:rFonts w:ascii="Arial" w:hAnsi="Arial" w:cs="Arial"/>
      <w:b/>
      <w:bCs/>
    </w:rPr>
  </w:style>
  <w:style w:type="paragraph" w:styleId="Revision">
    <w:name w:val="Revision"/>
    <w:hidden/>
    <w:uiPriority w:val="99"/>
    <w:semiHidden/>
    <w:rsid w:val="00D0290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legalservice.org/wp-content/uploads/sites/15/2016/07/OCR-Section-504-Guidance-for-Students-With-ADHD-July-2016.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FA03-A749-45BB-A6E8-4ABFF6D6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Jones</dc:creator>
  <cp:lastModifiedBy>Ana Arias</cp:lastModifiedBy>
  <cp:revision>2</cp:revision>
  <cp:lastPrinted>2016-07-29T17:29:00Z</cp:lastPrinted>
  <dcterms:created xsi:type="dcterms:W3CDTF">2016-07-29T20:47:00Z</dcterms:created>
  <dcterms:modified xsi:type="dcterms:W3CDTF">2016-07-29T20:47:00Z</dcterms:modified>
</cp:coreProperties>
</file>